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7C" w:rsidRPr="00576B81" w:rsidRDefault="00EB6C7C" w:rsidP="00576B81">
      <w:pPr>
        <w:jc w:val="center"/>
        <w:rPr>
          <w:rFonts w:ascii="Arial" w:hAnsi="Arial" w:cs="Arial"/>
          <w:b/>
          <w:sz w:val="28"/>
          <w:szCs w:val="28"/>
        </w:rPr>
      </w:pPr>
      <w:r w:rsidRPr="00576B81">
        <w:rPr>
          <w:rFonts w:ascii="Arial" w:hAnsi="Arial" w:cs="Arial"/>
          <w:b/>
          <w:sz w:val="28"/>
          <w:szCs w:val="28"/>
        </w:rPr>
        <w:t xml:space="preserve">MEDIA ADVISORY/INTERVIEW </w:t>
      </w:r>
      <w:smartTag w:uri="urn:schemas-microsoft-com:office:smarttags" w:element="place">
        <w:r w:rsidRPr="00576B81">
          <w:rPr>
            <w:rFonts w:ascii="Arial" w:hAnsi="Arial" w:cs="Arial"/>
            <w:b/>
            <w:sz w:val="28"/>
            <w:szCs w:val="28"/>
          </w:rPr>
          <w:t>OPPORTUNITY</w:t>
        </w:r>
      </w:smartTag>
    </w:p>
    <w:p w:rsidR="00EB6C7C" w:rsidRDefault="00EB6C7C" w:rsidP="00006F1B">
      <w:pPr>
        <w:spacing w:after="0" w:line="240" w:lineRule="auto"/>
        <w:jc w:val="center"/>
        <w:rPr>
          <w:rFonts w:ascii="Arial" w:hAnsi="Arial" w:cs="Arial"/>
          <w:b/>
        </w:rPr>
      </w:pPr>
      <w:r>
        <w:rPr>
          <w:rFonts w:ascii="Arial" w:hAnsi="Arial" w:cs="Arial"/>
          <w:b/>
        </w:rPr>
        <w:t>Many Canadian companies plan for bulk of IFRS conversion in 2010</w:t>
      </w:r>
    </w:p>
    <w:p w:rsidR="00EB6C7C" w:rsidRPr="00C34456" w:rsidRDefault="00EB6C7C" w:rsidP="00576B81">
      <w:pPr>
        <w:spacing w:after="0" w:line="240" w:lineRule="auto"/>
        <w:jc w:val="center"/>
        <w:rPr>
          <w:rFonts w:ascii="Times New Roman" w:hAnsi="Times New Roman"/>
          <w:i/>
        </w:rPr>
      </w:pPr>
    </w:p>
    <w:p w:rsidR="00EB6C7C" w:rsidRPr="00C52E83" w:rsidRDefault="00EB6C7C" w:rsidP="00C34456">
      <w:pPr>
        <w:spacing w:after="0" w:line="240" w:lineRule="auto"/>
        <w:ind w:left="720" w:hanging="720"/>
        <w:rPr>
          <w:rFonts w:ascii="Arial" w:hAnsi="Arial" w:cs="Arial"/>
          <w:sz w:val="20"/>
          <w:szCs w:val="20"/>
        </w:rPr>
      </w:pPr>
      <w:r w:rsidRPr="00C52E83">
        <w:rPr>
          <w:rFonts w:ascii="Arial" w:hAnsi="Arial" w:cs="Arial"/>
          <w:b/>
          <w:sz w:val="20"/>
          <w:szCs w:val="20"/>
        </w:rPr>
        <w:t>What:</w:t>
      </w:r>
      <w:r w:rsidRPr="00C52E83">
        <w:rPr>
          <w:rFonts w:ascii="Arial" w:hAnsi="Arial" w:cs="Arial"/>
          <w:sz w:val="20"/>
          <w:szCs w:val="20"/>
        </w:rPr>
        <w:tab/>
        <w:t xml:space="preserve">Are Canadian companies making positive strides in their transition to International Financial Reporting Standards (IFRS)? </w:t>
      </w:r>
    </w:p>
    <w:p w:rsidR="00EB6C7C" w:rsidRPr="00C52E83" w:rsidRDefault="00EB6C7C" w:rsidP="00C34456">
      <w:pPr>
        <w:spacing w:after="0" w:line="240" w:lineRule="auto"/>
        <w:ind w:left="720" w:hanging="720"/>
        <w:rPr>
          <w:rFonts w:ascii="Arial" w:hAnsi="Arial" w:cs="Arial"/>
          <w:sz w:val="20"/>
          <w:szCs w:val="20"/>
        </w:rPr>
      </w:pPr>
    </w:p>
    <w:p w:rsidR="00EB6C7C" w:rsidRPr="00C52E83" w:rsidRDefault="00EB6C7C" w:rsidP="00C52E83">
      <w:pPr>
        <w:spacing w:after="0" w:line="240" w:lineRule="auto"/>
        <w:ind w:left="720" w:hanging="11"/>
        <w:rPr>
          <w:rFonts w:ascii="Arial" w:hAnsi="Arial" w:cs="Arial"/>
          <w:sz w:val="20"/>
          <w:szCs w:val="20"/>
        </w:rPr>
      </w:pPr>
      <w:r w:rsidRPr="00C52E83">
        <w:rPr>
          <w:rFonts w:ascii="Arial" w:hAnsi="Arial" w:cs="Arial"/>
          <w:sz w:val="20"/>
          <w:szCs w:val="20"/>
        </w:rPr>
        <w:t xml:space="preserve">According to a study conducted by the Canadian Financial Executives Research Foundation (CFERF), the research </w:t>
      </w:r>
      <w:smartTag w:uri="urn:schemas-microsoft-com:office:smarttags" w:element="place">
        <w:smartTag w:uri="urn:schemas-microsoft-com:office:smarttags" w:element="PlaceType">
          <w:r w:rsidRPr="00C52E83">
            <w:rPr>
              <w:rFonts w:ascii="Arial" w:hAnsi="Arial" w:cs="Arial"/>
              <w:sz w:val="20"/>
              <w:szCs w:val="20"/>
            </w:rPr>
            <w:t>institute</w:t>
          </w:r>
        </w:smartTag>
        <w:r w:rsidRPr="00C52E83">
          <w:rPr>
            <w:rFonts w:ascii="Arial" w:hAnsi="Arial" w:cs="Arial"/>
            <w:sz w:val="20"/>
            <w:szCs w:val="20"/>
          </w:rPr>
          <w:t xml:space="preserve"> of </w:t>
        </w:r>
        <w:smartTag w:uri="urn:schemas-microsoft-com:office:smarttags" w:element="PlaceName">
          <w:r w:rsidRPr="00C52E83">
            <w:rPr>
              <w:rFonts w:ascii="Arial" w:hAnsi="Arial" w:cs="Arial"/>
              <w:sz w:val="20"/>
              <w:szCs w:val="20"/>
            </w:rPr>
            <w:t>FEI Canada</w:t>
          </w:r>
        </w:smartTag>
      </w:smartTag>
      <w:r w:rsidRPr="00C52E83">
        <w:rPr>
          <w:rFonts w:ascii="Arial" w:hAnsi="Arial" w:cs="Arial"/>
          <w:sz w:val="20"/>
          <w:szCs w:val="20"/>
        </w:rPr>
        <w:t>, and sponsored by PricewaterhouseCoopers (PwC), the bulk of IFRS conversions for half of the Canadian companies surveyed are planned for 2010. Indeed, this is whe</w:t>
      </w:r>
      <w:r>
        <w:rPr>
          <w:rFonts w:ascii="Arial" w:hAnsi="Arial" w:cs="Arial"/>
          <w:sz w:val="20"/>
          <w:szCs w:val="20"/>
        </w:rPr>
        <w:t>n</w:t>
      </w:r>
      <w:r w:rsidRPr="00C52E83">
        <w:rPr>
          <w:rFonts w:ascii="Arial" w:hAnsi="Arial" w:cs="Arial"/>
          <w:sz w:val="20"/>
          <w:szCs w:val="20"/>
        </w:rPr>
        <w:t xml:space="preserve"> those companies had indicated they would spend the majority of their conversion budgets. </w:t>
      </w:r>
    </w:p>
    <w:p w:rsidR="00EB6C7C" w:rsidRPr="00C52E83" w:rsidRDefault="00EB6C7C" w:rsidP="00C52E83">
      <w:pPr>
        <w:spacing w:after="0" w:line="240" w:lineRule="auto"/>
        <w:ind w:left="720" w:hanging="720"/>
        <w:rPr>
          <w:rFonts w:ascii="Arial" w:hAnsi="Arial" w:cs="Arial"/>
          <w:sz w:val="20"/>
          <w:szCs w:val="20"/>
        </w:rPr>
      </w:pPr>
    </w:p>
    <w:p w:rsidR="00EB6C7C" w:rsidRPr="00C52E83" w:rsidRDefault="00EB6C7C" w:rsidP="00C52E83">
      <w:pPr>
        <w:ind w:left="709"/>
        <w:rPr>
          <w:rFonts w:ascii="Arial" w:hAnsi="Arial" w:cs="Arial"/>
          <w:sz w:val="20"/>
          <w:szCs w:val="20"/>
        </w:rPr>
      </w:pPr>
      <w:r w:rsidRPr="00C52E83">
        <w:rPr>
          <w:rFonts w:ascii="Arial" w:hAnsi="Arial" w:cs="Arial"/>
          <w:sz w:val="20"/>
          <w:szCs w:val="20"/>
        </w:rPr>
        <w:t>Yet, with the January 1, 2011 deadline for Canadian companies and the transition to IFRS looming on the horizon, many report challenges related to staff shortages, internal systems and identifying anticipated changes to their financial statements.</w:t>
      </w:r>
      <w:r>
        <w:rPr>
          <w:rFonts w:ascii="Arial" w:hAnsi="Arial" w:cs="Arial"/>
          <w:sz w:val="20"/>
          <w:szCs w:val="20"/>
        </w:rPr>
        <w:t xml:space="preserve"> </w:t>
      </w:r>
    </w:p>
    <w:p w:rsidR="00EB6C7C" w:rsidRPr="00C52E83" w:rsidRDefault="00EB6C7C" w:rsidP="00CA7540">
      <w:pPr>
        <w:spacing w:after="0" w:line="240" w:lineRule="auto"/>
        <w:rPr>
          <w:rFonts w:ascii="Arial" w:hAnsi="Arial" w:cs="Arial"/>
          <w:b/>
          <w:sz w:val="20"/>
          <w:szCs w:val="20"/>
        </w:rPr>
      </w:pPr>
      <w:r w:rsidRPr="00C52E83">
        <w:rPr>
          <w:rFonts w:ascii="Arial" w:hAnsi="Arial" w:cs="Arial"/>
          <w:b/>
          <w:sz w:val="20"/>
          <w:szCs w:val="20"/>
        </w:rPr>
        <w:t>Key Survey Findings:</w:t>
      </w:r>
    </w:p>
    <w:p w:rsidR="00EB6C7C" w:rsidRPr="00C52E83" w:rsidRDefault="00EB6C7C" w:rsidP="00CA7540">
      <w:pPr>
        <w:spacing w:after="0" w:line="240" w:lineRule="auto"/>
        <w:rPr>
          <w:rFonts w:ascii="Arial" w:hAnsi="Arial" w:cs="Arial"/>
          <w:b/>
          <w:sz w:val="20"/>
          <w:szCs w:val="20"/>
        </w:rPr>
      </w:pPr>
    </w:p>
    <w:p w:rsidR="00EB6C7C" w:rsidRPr="00C52E83" w:rsidRDefault="00EB6C7C" w:rsidP="0090401C">
      <w:pPr>
        <w:pStyle w:val="ListParagraph"/>
        <w:numPr>
          <w:ilvl w:val="0"/>
          <w:numId w:val="1"/>
        </w:numPr>
        <w:spacing w:after="0" w:line="240" w:lineRule="auto"/>
        <w:ind w:left="1080"/>
        <w:rPr>
          <w:rFonts w:ascii="Arial" w:hAnsi="Arial" w:cs="Arial"/>
          <w:b/>
          <w:sz w:val="20"/>
          <w:szCs w:val="20"/>
        </w:rPr>
      </w:pPr>
      <w:r w:rsidRPr="00C52E83">
        <w:rPr>
          <w:rFonts w:ascii="Arial" w:hAnsi="Arial" w:cs="Arial"/>
          <w:b/>
          <w:sz w:val="20"/>
          <w:szCs w:val="20"/>
        </w:rPr>
        <w:t>Significant impact on financial statements</w:t>
      </w:r>
    </w:p>
    <w:p w:rsidR="00EB6C7C" w:rsidRPr="00C52E83" w:rsidRDefault="00EB6C7C" w:rsidP="0090401C">
      <w:pPr>
        <w:pStyle w:val="ListParagraph"/>
        <w:numPr>
          <w:ilvl w:val="1"/>
          <w:numId w:val="1"/>
        </w:numPr>
        <w:spacing w:before="100" w:beforeAutospacing="1" w:after="100" w:afterAutospacing="1" w:line="240" w:lineRule="auto"/>
        <w:ind w:left="1800"/>
        <w:rPr>
          <w:rFonts w:ascii="Arial" w:hAnsi="Arial" w:cs="Arial"/>
          <w:color w:val="000000"/>
          <w:sz w:val="20"/>
          <w:szCs w:val="20"/>
        </w:rPr>
      </w:pPr>
      <w:r w:rsidRPr="00C52E83">
        <w:rPr>
          <w:rFonts w:ascii="Arial" w:hAnsi="Arial" w:cs="Arial"/>
          <w:color w:val="000000"/>
          <w:sz w:val="20"/>
          <w:szCs w:val="20"/>
        </w:rPr>
        <w:t>57% of companies report that they expect IFRS adoption to have a significant impact on the reported value of their assets.  The results are higher for utilities (84%) manufacturing, 78% and mining and oil and gas 67%.</w:t>
      </w:r>
    </w:p>
    <w:p w:rsidR="00EB6C7C" w:rsidRPr="00C52E83" w:rsidRDefault="00EB6C7C" w:rsidP="0090401C">
      <w:pPr>
        <w:pStyle w:val="ListParagraph"/>
        <w:numPr>
          <w:ilvl w:val="1"/>
          <w:numId w:val="1"/>
        </w:numPr>
        <w:spacing w:before="100" w:beforeAutospacing="1" w:after="100" w:afterAutospacing="1" w:line="240" w:lineRule="auto"/>
        <w:ind w:left="1800"/>
        <w:rPr>
          <w:rFonts w:ascii="Arial" w:hAnsi="Arial" w:cs="Arial"/>
          <w:color w:val="000000"/>
          <w:sz w:val="20"/>
          <w:szCs w:val="20"/>
        </w:rPr>
      </w:pPr>
      <w:r w:rsidRPr="00C52E83">
        <w:rPr>
          <w:rFonts w:ascii="Arial" w:hAnsi="Arial" w:cs="Arial"/>
          <w:color w:val="000000"/>
          <w:sz w:val="20"/>
          <w:szCs w:val="20"/>
        </w:rPr>
        <w:t>25% of companies expect a significant change in the reported value of pensions.</w:t>
      </w:r>
    </w:p>
    <w:p w:rsidR="00EB6C7C" w:rsidRPr="00C52E83" w:rsidRDefault="00EB6C7C" w:rsidP="0090401C">
      <w:pPr>
        <w:pStyle w:val="ListParagraph"/>
        <w:numPr>
          <w:ilvl w:val="1"/>
          <w:numId w:val="1"/>
        </w:numPr>
        <w:spacing w:before="100" w:beforeAutospacing="1" w:after="100" w:afterAutospacing="1" w:line="240" w:lineRule="auto"/>
        <w:ind w:left="1800"/>
        <w:rPr>
          <w:rFonts w:ascii="Arial" w:hAnsi="Arial" w:cs="Arial"/>
          <w:color w:val="000000"/>
          <w:sz w:val="20"/>
          <w:szCs w:val="20"/>
        </w:rPr>
      </w:pPr>
      <w:r w:rsidRPr="00C52E83">
        <w:rPr>
          <w:rFonts w:ascii="Arial" w:hAnsi="Arial" w:cs="Arial"/>
          <w:color w:val="000000"/>
          <w:sz w:val="20"/>
          <w:szCs w:val="20"/>
        </w:rPr>
        <w:t>20% expect a significant change in the reported value of their financial instruments.</w:t>
      </w:r>
    </w:p>
    <w:p w:rsidR="00EB6C7C" w:rsidRPr="00C52E83" w:rsidRDefault="00EB6C7C" w:rsidP="0090401C">
      <w:pPr>
        <w:pStyle w:val="ListParagraph"/>
        <w:numPr>
          <w:ilvl w:val="1"/>
          <w:numId w:val="1"/>
        </w:numPr>
        <w:spacing w:before="100" w:beforeAutospacing="1" w:after="100" w:afterAutospacing="1" w:line="240" w:lineRule="auto"/>
        <w:ind w:left="1800"/>
        <w:rPr>
          <w:rFonts w:ascii="Arial" w:hAnsi="Arial" w:cs="Arial"/>
          <w:color w:val="000000"/>
          <w:sz w:val="20"/>
          <w:szCs w:val="20"/>
        </w:rPr>
      </w:pPr>
      <w:r w:rsidRPr="00C52E83">
        <w:rPr>
          <w:rFonts w:ascii="Arial" w:hAnsi="Arial" w:cs="Arial"/>
          <w:color w:val="000000"/>
          <w:sz w:val="20"/>
          <w:szCs w:val="20"/>
        </w:rPr>
        <w:t>20% expect a significant change in reported revenues.</w:t>
      </w:r>
    </w:p>
    <w:p w:rsidR="00EB6C7C" w:rsidRPr="00C52E83" w:rsidRDefault="00EB6C7C" w:rsidP="0090401C">
      <w:pPr>
        <w:pStyle w:val="ListParagraph"/>
        <w:numPr>
          <w:ilvl w:val="1"/>
          <w:numId w:val="1"/>
        </w:numPr>
        <w:spacing w:before="100" w:beforeAutospacing="1" w:after="100" w:afterAutospacing="1" w:line="240" w:lineRule="auto"/>
        <w:ind w:left="1800"/>
        <w:rPr>
          <w:rFonts w:ascii="Arial" w:hAnsi="Arial" w:cs="Arial"/>
          <w:color w:val="000000"/>
          <w:sz w:val="20"/>
          <w:szCs w:val="20"/>
        </w:rPr>
      </w:pPr>
      <w:r w:rsidRPr="00C52E83">
        <w:rPr>
          <w:rFonts w:ascii="Arial" w:hAnsi="Arial" w:cs="Arial"/>
          <w:color w:val="000000"/>
          <w:sz w:val="20"/>
          <w:szCs w:val="20"/>
        </w:rPr>
        <w:t>20% expect a significant change in the value of goodwill.</w:t>
      </w:r>
    </w:p>
    <w:p w:rsidR="00EB6C7C" w:rsidRPr="00C52E83" w:rsidRDefault="00EB6C7C" w:rsidP="0090401C">
      <w:pPr>
        <w:pStyle w:val="ListParagraph"/>
        <w:spacing w:before="100" w:beforeAutospacing="1" w:after="100" w:afterAutospacing="1" w:line="240" w:lineRule="auto"/>
        <w:ind w:left="1800"/>
        <w:rPr>
          <w:rFonts w:ascii="Arial" w:hAnsi="Arial" w:cs="Arial"/>
          <w:color w:val="000000"/>
          <w:sz w:val="20"/>
          <w:szCs w:val="20"/>
        </w:rPr>
      </w:pPr>
    </w:p>
    <w:p w:rsidR="00EB6C7C" w:rsidRPr="00C52E83" w:rsidRDefault="00EB6C7C" w:rsidP="0090401C">
      <w:pPr>
        <w:pStyle w:val="ListParagraph"/>
        <w:numPr>
          <w:ilvl w:val="0"/>
          <w:numId w:val="1"/>
        </w:numPr>
        <w:spacing w:before="100" w:beforeAutospacing="1" w:after="100" w:afterAutospacing="1" w:line="240" w:lineRule="auto"/>
        <w:ind w:left="1134" w:hanging="425"/>
        <w:rPr>
          <w:rFonts w:ascii="Arial" w:hAnsi="Arial" w:cs="Arial"/>
          <w:b/>
          <w:color w:val="000000"/>
          <w:sz w:val="20"/>
          <w:szCs w:val="20"/>
        </w:rPr>
      </w:pPr>
      <w:r w:rsidRPr="00C52E83">
        <w:rPr>
          <w:rFonts w:ascii="Arial" w:hAnsi="Arial" w:cs="Arial"/>
          <w:b/>
          <w:color w:val="000000"/>
          <w:sz w:val="20"/>
          <w:szCs w:val="20"/>
        </w:rPr>
        <w:t xml:space="preserve">Disclosure of IFRS impacts expected in 2009 </w:t>
      </w:r>
    </w:p>
    <w:p w:rsidR="00EB6C7C" w:rsidRPr="00C52E83" w:rsidRDefault="00EB6C7C" w:rsidP="0090401C">
      <w:pPr>
        <w:pStyle w:val="ListParagraph"/>
        <w:numPr>
          <w:ilvl w:val="1"/>
          <w:numId w:val="1"/>
        </w:numPr>
        <w:spacing w:before="100" w:beforeAutospacing="1" w:after="100" w:afterAutospacing="1" w:line="240" w:lineRule="auto"/>
        <w:ind w:left="1843" w:hanging="425"/>
        <w:rPr>
          <w:rFonts w:ascii="Arial" w:hAnsi="Arial" w:cs="Arial"/>
          <w:color w:val="000000"/>
          <w:sz w:val="20"/>
          <w:szCs w:val="20"/>
        </w:rPr>
      </w:pPr>
      <w:r w:rsidRPr="00C52E83">
        <w:rPr>
          <w:rFonts w:ascii="Arial" w:hAnsi="Arial" w:cs="Arial"/>
          <w:color w:val="000000"/>
          <w:sz w:val="20"/>
          <w:szCs w:val="20"/>
        </w:rPr>
        <w:t>58% of public companies will be disclosing a qualitative assessment of the impacts of IFRS conversion in their 2009 MD&amp;A.</w:t>
      </w:r>
    </w:p>
    <w:p w:rsidR="00EB6C7C" w:rsidRPr="00C52E83" w:rsidRDefault="00EB6C7C" w:rsidP="0090401C">
      <w:pPr>
        <w:pStyle w:val="ListParagraph"/>
        <w:numPr>
          <w:ilvl w:val="1"/>
          <w:numId w:val="1"/>
        </w:numPr>
        <w:spacing w:before="100" w:beforeAutospacing="1" w:after="100" w:afterAutospacing="1" w:line="240" w:lineRule="auto"/>
        <w:ind w:left="1843" w:hanging="425"/>
        <w:rPr>
          <w:rFonts w:ascii="Arial" w:hAnsi="Arial" w:cs="Arial"/>
          <w:color w:val="000000"/>
          <w:sz w:val="20"/>
          <w:szCs w:val="20"/>
        </w:rPr>
      </w:pPr>
      <w:r w:rsidRPr="00C52E83">
        <w:rPr>
          <w:rFonts w:ascii="Arial" w:hAnsi="Arial" w:cs="Arial"/>
          <w:color w:val="000000"/>
          <w:sz w:val="20"/>
          <w:szCs w:val="20"/>
        </w:rPr>
        <w:t>25% will be making disclosing both a qualitative and quantitative assessment of the impacts of IFRS.</w:t>
      </w:r>
    </w:p>
    <w:p w:rsidR="00EB6C7C" w:rsidRPr="00C52E83" w:rsidRDefault="00EB6C7C" w:rsidP="0090401C">
      <w:pPr>
        <w:pStyle w:val="ListParagraph"/>
        <w:spacing w:after="0" w:line="240" w:lineRule="auto"/>
        <w:ind w:left="1800"/>
        <w:rPr>
          <w:rFonts w:ascii="Arial" w:hAnsi="Arial" w:cs="Arial"/>
          <w:sz w:val="20"/>
          <w:szCs w:val="20"/>
        </w:rPr>
      </w:pPr>
    </w:p>
    <w:p w:rsidR="00EB6C7C" w:rsidRPr="00C52E83" w:rsidRDefault="00EB6C7C" w:rsidP="0090401C">
      <w:pPr>
        <w:pStyle w:val="ListParagraph"/>
        <w:numPr>
          <w:ilvl w:val="0"/>
          <w:numId w:val="1"/>
        </w:numPr>
        <w:spacing w:after="0" w:line="240" w:lineRule="auto"/>
        <w:ind w:left="1080"/>
        <w:rPr>
          <w:rFonts w:ascii="Arial" w:hAnsi="Arial" w:cs="Arial"/>
          <w:b/>
          <w:sz w:val="20"/>
          <w:szCs w:val="20"/>
        </w:rPr>
      </w:pPr>
      <w:r w:rsidRPr="00C52E83">
        <w:rPr>
          <w:rFonts w:ascii="Arial" w:hAnsi="Arial" w:cs="Arial"/>
          <w:b/>
          <w:sz w:val="20"/>
          <w:szCs w:val="20"/>
        </w:rPr>
        <w:t>Are internal systems ready to run?</w:t>
      </w:r>
    </w:p>
    <w:p w:rsidR="00EB6C7C" w:rsidRPr="00C52E83" w:rsidRDefault="00EB6C7C" w:rsidP="0090401C">
      <w:pPr>
        <w:pStyle w:val="ListParagraph"/>
        <w:numPr>
          <w:ilvl w:val="1"/>
          <w:numId w:val="1"/>
        </w:numPr>
        <w:spacing w:after="0" w:line="240" w:lineRule="auto"/>
        <w:ind w:left="1800"/>
        <w:rPr>
          <w:rFonts w:ascii="Arial" w:hAnsi="Arial" w:cs="Arial"/>
          <w:sz w:val="20"/>
          <w:szCs w:val="20"/>
        </w:rPr>
      </w:pPr>
      <w:r w:rsidRPr="00C52E83">
        <w:rPr>
          <w:rFonts w:ascii="Arial" w:hAnsi="Arial" w:cs="Arial"/>
          <w:sz w:val="20"/>
          <w:szCs w:val="20"/>
        </w:rPr>
        <w:t xml:space="preserve">While 55% of public companies say they have not yet assessed system implications of the changeover, 72% maintain that they plan to run parallel manual IFRS and Canadian GAAP financial reporting systems throughout 2010. </w:t>
      </w:r>
    </w:p>
    <w:p w:rsidR="00EB6C7C" w:rsidRPr="00C52E83" w:rsidRDefault="00EB6C7C" w:rsidP="0090401C">
      <w:pPr>
        <w:pStyle w:val="ListParagraph"/>
        <w:spacing w:after="0" w:line="240" w:lineRule="auto"/>
        <w:ind w:left="1800"/>
        <w:rPr>
          <w:rFonts w:ascii="Arial" w:hAnsi="Arial" w:cs="Arial"/>
          <w:sz w:val="20"/>
          <w:szCs w:val="20"/>
        </w:rPr>
      </w:pPr>
    </w:p>
    <w:p w:rsidR="00EB6C7C" w:rsidRPr="00C52E83" w:rsidRDefault="00EB6C7C" w:rsidP="0090401C">
      <w:pPr>
        <w:pStyle w:val="ListParagraph"/>
        <w:numPr>
          <w:ilvl w:val="0"/>
          <w:numId w:val="1"/>
        </w:numPr>
        <w:spacing w:after="0" w:line="240" w:lineRule="auto"/>
        <w:ind w:left="1080"/>
        <w:rPr>
          <w:rFonts w:ascii="Arial" w:hAnsi="Arial" w:cs="Arial"/>
          <w:b/>
          <w:sz w:val="20"/>
          <w:szCs w:val="20"/>
        </w:rPr>
      </w:pPr>
      <w:r w:rsidRPr="00C52E83">
        <w:rPr>
          <w:rFonts w:ascii="Arial" w:hAnsi="Arial" w:cs="Arial"/>
          <w:b/>
          <w:sz w:val="20"/>
          <w:szCs w:val="20"/>
        </w:rPr>
        <w:t>Stakeholder awareness and training</w:t>
      </w:r>
    </w:p>
    <w:p w:rsidR="00EB6C7C" w:rsidRPr="00C52E83" w:rsidRDefault="00EB6C7C" w:rsidP="0090401C">
      <w:pPr>
        <w:pStyle w:val="ListParagraph"/>
        <w:numPr>
          <w:ilvl w:val="1"/>
          <w:numId w:val="1"/>
        </w:numPr>
        <w:spacing w:after="0" w:line="240" w:lineRule="auto"/>
        <w:ind w:left="1800"/>
        <w:rPr>
          <w:rFonts w:ascii="Arial" w:hAnsi="Arial" w:cs="Arial"/>
          <w:sz w:val="20"/>
          <w:szCs w:val="20"/>
        </w:rPr>
      </w:pPr>
      <w:r w:rsidRPr="00C52E83">
        <w:rPr>
          <w:rFonts w:ascii="Arial" w:hAnsi="Arial" w:cs="Arial"/>
          <w:sz w:val="20"/>
          <w:szCs w:val="20"/>
        </w:rPr>
        <w:t>40% of companies surveyed report they have not yet communicated anticipated impact of IFRS on asset values with shareholders, rating agencies or analysts.</w:t>
      </w:r>
    </w:p>
    <w:p w:rsidR="00EB6C7C" w:rsidRPr="00C52E83" w:rsidRDefault="00EB6C7C" w:rsidP="0090401C">
      <w:pPr>
        <w:pStyle w:val="ListParagraph"/>
        <w:numPr>
          <w:ilvl w:val="1"/>
          <w:numId w:val="1"/>
        </w:numPr>
        <w:spacing w:after="0" w:line="240" w:lineRule="auto"/>
        <w:ind w:left="1800"/>
        <w:rPr>
          <w:rFonts w:ascii="Arial" w:hAnsi="Arial" w:cs="Arial"/>
          <w:sz w:val="20"/>
          <w:szCs w:val="20"/>
        </w:rPr>
      </w:pPr>
      <w:r w:rsidRPr="00C52E83">
        <w:rPr>
          <w:rFonts w:ascii="Arial" w:hAnsi="Arial" w:cs="Arial"/>
          <w:sz w:val="20"/>
          <w:szCs w:val="20"/>
        </w:rPr>
        <w:t>82% of public companies report having begun training finance staff about IFRS, only 41% of public companies indicated that they had started educating their Board of Directors.</w:t>
      </w:r>
    </w:p>
    <w:p w:rsidR="00EB6C7C" w:rsidRPr="00C52E83" w:rsidRDefault="00EB6C7C" w:rsidP="0090401C">
      <w:pPr>
        <w:pStyle w:val="ListParagraph"/>
        <w:numPr>
          <w:ilvl w:val="1"/>
          <w:numId w:val="1"/>
        </w:numPr>
        <w:spacing w:after="0" w:line="240" w:lineRule="auto"/>
        <w:ind w:left="1800"/>
        <w:rPr>
          <w:rFonts w:ascii="Arial" w:hAnsi="Arial" w:cs="Arial"/>
          <w:sz w:val="20"/>
          <w:szCs w:val="20"/>
        </w:rPr>
      </w:pPr>
      <w:r w:rsidRPr="00C52E83">
        <w:rPr>
          <w:rFonts w:ascii="Arial" w:hAnsi="Arial" w:cs="Arial"/>
          <w:sz w:val="20"/>
          <w:szCs w:val="20"/>
        </w:rPr>
        <w:t>As conversion to IFRS is not just a corporate transition, all employees, Boards shareholders and key stakeholders must understand the implementation process and its resulting impacts.</w:t>
      </w:r>
    </w:p>
    <w:p w:rsidR="00EB6C7C" w:rsidRPr="00C52E83" w:rsidRDefault="00EB6C7C" w:rsidP="00576B81">
      <w:pPr>
        <w:spacing w:after="0" w:line="240" w:lineRule="auto"/>
        <w:ind w:left="720"/>
        <w:rPr>
          <w:rFonts w:ascii="Arial" w:hAnsi="Arial" w:cs="Arial"/>
          <w:sz w:val="20"/>
          <w:szCs w:val="20"/>
        </w:rPr>
      </w:pPr>
    </w:p>
    <w:p w:rsidR="00EB6C7C" w:rsidRPr="00C52E83" w:rsidRDefault="00EB6C7C" w:rsidP="00675BCD">
      <w:pPr>
        <w:ind w:right="-421"/>
        <w:rPr>
          <w:rFonts w:ascii="Arial" w:hAnsi="Arial" w:cs="Arial"/>
          <w:sz w:val="20"/>
          <w:szCs w:val="20"/>
        </w:rPr>
      </w:pPr>
      <w:r w:rsidRPr="00C52E83">
        <w:rPr>
          <w:rFonts w:ascii="Arial" w:hAnsi="Arial" w:cs="Arial"/>
          <w:sz w:val="20"/>
          <w:szCs w:val="20"/>
        </w:rPr>
        <w:t>Complete survey results can be accessed at http://www.feicanada.org/files/IFRS_Readiness_Final_Web.pdf</w:t>
      </w:r>
      <w:r w:rsidRPr="00C52E83">
        <w:rPr>
          <w:rFonts w:ascii="Arial" w:hAnsi="Arial" w:cs="Arial"/>
          <w:color w:val="1F497D"/>
          <w:sz w:val="20"/>
          <w:szCs w:val="20"/>
        </w:rPr>
        <w:t xml:space="preserve">      </w:t>
      </w:r>
      <w:r w:rsidRPr="00C52E83">
        <w:rPr>
          <w:rFonts w:ascii="Arial" w:hAnsi="Arial" w:cs="Arial"/>
          <w:sz w:val="20"/>
          <w:szCs w:val="20"/>
        </w:rPr>
        <w:t xml:space="preserve">and www.pwcifrs.ca. </w:t>
      </w:r>
    </w:p>
    <w:p w:rsidR="00EB6C7C" w:rsidRPr="00C52E83" w:rsidRDefault="00EB6C7C" w:rsidP="0072190F">
      <w:pPr>
        <w:autoSpaceDE w:val="0"/>
        <w:autoSpaceDN w:val="0"/>
        <w:adjustRightInd w:val="0"/>
        <w:spacing w:after="0" w:line="240" w:lineRule="auto"/>
        <w:rPr>
          <w:rFonts w:ascii="Arial" w:hAnsi="Arial" w:cs="Arial"/>
          <w:b/>
          <w:bCs/>
          <w:color w:val="000000"/>
          <w:sz w:val="20"/>
          <w:szCs w:val="20"/>
        </w:rPr>
      </w:pPr>
      <w:r w:rsidRPr="00C52E83">
        <w:rPr>
          <w:rFonts w:ascii="Arial" w:hAnsi="Arial" w:cs="Arial"/>
          <w:b/>
          <w:bCs/>
          <w:color w:val="000000"/>
          <w:sz w:val="20"/>
          <w:szCs w:val="20"/>
        </w:rPr>
        <w:t xml:space="preserve">About </w:t>
      </w:r>
      <w:r w:rsidRPr="00C52E83">
        <w:rPr>
          <w:rFonts w:ascii="Arial" w:hAnsi="Arial" w:cs="Arial"/>
          <w:b/>
          <w:color w:val="000000"/>
          <w:sz w:val="20"/>
          <w:szCs w:val="20"/>
        </w:rPr>
        <w:t>The Canadian Financial Executives Research Foundation (</w:t>
      </w:r>
      <w:r w:rsidRPr="00C52E83">
        <w:rPr>
          <w:rFonts w:ascii="Arial" w:hAnsi="Arial" w:cs="Arial"/>
          <w:b/>
          <w:bCs/>
          <w:color w:val="000000"/>
          <w:sz w:val="20"/>
          <w:szCs w:val="20"/>
        </w:rPr>
        <w:t>CFERF)</w:t>
      </w:r>
    </w:p>
    <w:p w:rsidR="00EB6C7C" w:rsidRPr="00C52E83" w:rsidRDefault="00EB6C7C" w:rsidP="0072190F">
      <w:pPr>
        <w:autoSpaceDE w:val="0"/>
        <w:autoSpaceDN w:val="0"/>
        <w:adjustRightInd w:val="0"/>
        <w:spacing w:after="0" w:line="240" w:lineRule="auto"/>
        <w:rPr>
          <w:rFonts w:ascii="Arial" w:hAnsi="Arial" w:cs="Arial"/>
          <w:color w:val="000000"/>
          <w:sz w:val="20"/>
          <w:szCs w:val="20"/>
        </w:rPr>
      </w:pPr>
      <w:r w:rsidRPr="00C52E83">
        <w:rPr>
          <w:rFonts w:ascii="Arial" w:hAnsi="Arial" w:cs="Arial"/>
          <w:color w:val="000000"/>
          <w:sz w:val="20"/>
          <w:szCs w:val="20"/>
        </w:rPr>
        <w:t xml:space="preserve">CFERF is the research institute of Financial Executives International Canada (FEI Canada), the all-industry professional membership association for senior financial executives that provides professional development, thought leadership and advocacy services to its over 2000 members. CFERF’s primary objective is to study emerging financial management issues in </w:t>
      </w:r>
      <w:smartTag w:uri="urn:schemas-microsoft-com:office:smarttags" w:element="place">
        <w:smartTag w:uri="urn:schemas-microsoft-com:office:smarttags" w:element="country-region">
          <w:r w:rsidRPr="00C52E83">
            <w:rPr>
              <w:rFonts w:ascii="Arial" w:hAnsi="Arial" w:cs="Arial"/>
              <w:color w:val="000000"/>
              <w:sz w:val="20"/>
              <w:szCs w:val="20"/>
            </w:rPr>
            <w:t>Canada</w:t>
          </w:r>
        </w:smartTag>
      </w:smartTag>
      <w:r w:rsidRPr="00C52E83">
        <w:rPr>
          <w:rFonts w:ascii="Arial" w:hAnsi="Arial" w:cs="Arial"/>
          <w:color w:val="000000"/>
          <w:sz w:val="20"/>
          <w:szCs w:val="20"/>
        </w:rPr>
        <w:t xml:space="preserve"> with the aim of increasing the competitive capabilities of Canadian companies across the country. Further information can be found at </w:t>
      </w:r>
      <w:r w:rsidRPr="00C52E83">
        <w:rPr>
          <w:rFonts w:ascii="Arial" w:hAnsi="Arial" w:cs="Arial"/>
          <w:color w:val="0000FF"/>
          <w:sz w:val="20"/>
          <w:szCs w:val="20"/>
          <w:u w:val="single"/>
        </w:rPr>
        <w:t>www.feicanada.org</w:t>
      </w:r>
      <w:r w:rsidRPr="00C52E83">
        <w:rPr>
          <w:rFonts w:ascii="Arial" w:hAnsi="Arial" w:cs="Arial"/>
          <w:color w:val="000000"/>
          <w:sz w:val="20"/>
          <w:szCs w:val="20"/>
        </w:rPr>
        <w:t>.</w:t>
      </w:r>
    </w:p>
    <w:p w:rsidR="00EB6C7C" w:rsidRPr="00C52E83" w:rsidRDefault="00EB6C7C" w:rsidP="0072190F">
      <w:pPr>
        <w:rPr>
          <w:rFonts w:ascii="Arial" w:hAnsi="Arial" w:cs="Arial"/>
          <w:b/>
          <w:bCs/>
          <w:sz w:val="20"/>
          <w:szCs w:val="20"/>
        </w:rPr>
      </w:pPr>
    </w:p>
    <w:p w:rsidR="00EB6C7C" w:rsidRPr="00C52E83" w:rsidRDefault="00EB6C7C" w:rsidP="0072190F">
      <w:pPr>
        <w:rPr>
          <w:rFonts w:ascii="Arial" w:hAnsi="Arial" w:cs="Arial"/>
          <w:sz w:val="20"/>
          <w:szCs w:val="20"/>
        </w:rPr>
      </w:pPr>
      <w:r w:rsidRPr="00C52E83">
        <w:rPr>
          <w:rFonts w:ascii="Arial" w:hAnsi="Arial" w:cs="Arial"/>
          <w:b/>
          <w:bCs/>
          <w:sz w:val="20"/>
          <w:szCs w:val="20"/>
        </w:rPr>
        <w:t>About PricewaterhouseCoopers LLP</w:t>
      </w:r>
      <w:r w:rsidRPr="00C52E83">
        <w:rPr>
          <w:rFonts w:ascii="Arial" w:hAnsi="Arial" w:cs="Arial"/>
          <w:sz w:val="20"/>
          <w:szCs w:val="20"/>
        </w:rPr>
        <w:t xml:space="preserve"> </w:t>
      </w:r>
      <w:r w:rsidRPr="00C52E83">
        <w:rPr>
          <w:rFonts w:ascii="Arial" w:hAnsi="Arial" w:cs="Arial"/>
          <w:sz w:val="20"/>
          <w:szCs w:val="20"/>
        </w:rPr>
        <w:br/>
        <w:t>PricewaterhouseCoopers (</w:t>
      </w:r>
      <w:hyperlink r:id="rId5" w:tgtFrame="_blank" w:history="1">
        <w:r w:rsidRPr="00C52E83">
          <w:rPr>
            <w:rStyle w:val="Hyperlink"/>
            <w:rFonts w:ascii="Arial" w:hAnsi="Arial" w:cs="Arial"/>
            <w:color w:val="4181C0"/>
            <w:sz w:val="20"/>
            <w:szCs w:val="20"/>
          </w:rPr>
          <w:t>www.pwc.com</w:t>
        </w:r>
      </w:hyperlink>
      <w:r w:rsidRPr="00C52E83">
        <w:rPr>
          <w:rFonts w:ascii="Arial" w:hAnsi="Arial" w:cs="Arial"/>
          <w:sz w:val="20"/>
          <w:szCs w:val="20"/>
        </w:rPr>
        <w:t xml:space="preserve">) provides industry-focused assurance, tax and advisory services to build public trust and enhance value for its clients and their stakeholders. More than 163,000 people in 151 countries across our network share their thinking, experience and solutions to develop fresh perspectives and practical advice. In </w:t>
      </w:r>
      <w:smartTag w:uri="urn:schemas-microsoft-com:office:smarttags" w:element="place">
        <w:smartTag w:uri="urn:schemas-microsoft-com:office:smarttags" w:element="country-region">
          <w:r w:rsidRPr="00C52E83">
            <w:rPr>
              <w:rFonts w:ascii="Arial" w:hAnsi="Arial" w:cs="Arial"/>
              <w:sz w:val="20"/>
              <w:szCs w:val="20"/>
            </w:rPr>
            <w:t>Canada</w:t>
          </w:r>
        </w:smartTag>
      </w:smartTag>
      <w:r w:rsidRPr="00C52E83">
        <w:rPr>
          <w:rFonts w:ascii="Arial" w:hAnsi="Arial" w:cs="Arial"/>
          <w:sz w:val="20"/>
          <w:szCs w:val="20"/>
        </w:rPr>
        <w:t>, PricewaterhouseCoopers LLP (</w:t>
      </w:r>
      <w:hyperlink r:id="rId6" w:tgtFrame="_blank" w:history="1">
        <w:r w:rsidRPr="00C52E83">
          <w:rPr>
            <w:rStyle w:val="Hyperlink"/>
            <w:rFonts w:ascii="Arial" w:hAnsi="Arial" w:cs="Arial"/>
            <w:color w:val="4181C0"/>
            <w:sz w:val="20"/>
            <w:szCs w:val="20"/>
          </w:rPr>
          <w:t>www.pwc.com/ca</w:t>
        </w:r>
      </w:hyperlink>
      <w:r w:rsidRPr="00C52E83">
        <w:rPr>
          <w:rFonts w:ascii="Arial" w:hAnsi="Arial" w:cs="Arial"/>
          <w:sz w:val="20"/>
          <w:szCs w:val="20"/>
        </w:rPr>
        <w:t xml:space="preserve">) and its related entities have more than 5,300 partners and staff in offices across the country. </w:t>
      </w:r>
    </w:p>
    <w:p w:rsidR="00EB6C7C" w:rsidRPr="00C52E83" w:rsidRDefault="00EB6C7C" w:rsidP="0072190F">
      <w:pPr>
        <w:pStyle w:val="NormalWeb"/>
        <w:rPr>
          <w:rFonts w:ascii="Arial" w:hAnsi="Arial" w:cs="Arial"/>
          <w:sz w:val="20"/>
          <w:szCs w:val="20"/>
        </w:rPr>
      </w:pPr>
      <w:r w:rsidRPr="00C52E83">
        <w:rPr>
          <w:rFonts w:ascii="Arial" w:hAnsi="Arial" w:cs="Arial"/>
          <w:sz w:val="20"/>
          <w:szCs w:val="20"/>
        </w:rPr>
        <w:t xml:space="preserve">“PricewaterhouseCoopers” refers to PricewaterhouseCoopers LLP, an </w:t>
      </w:r>
      <w:smartTag w:uri="urn:schemas-microsoft-com:office:smarttags" w:element="place">
        <w:smartTag w:uri="urn:schemas-microsoft-com:office:smarttags" w:element="State">
          <w:r w:rsidRPr="00C52E83">
            <w:rPr>
              <w:rFonts w:ascii="Arial" w:hAnsi="Arial" w:cs="Arial"/>
              <w:sz w:val="20"/>
              <w:szCs w:val="20"/>
            </w:rPr>
            <w:t>Ontario</w:t>
          </w:r>
        </w:smartTag>
      </w:smartTag>
      <w:r w:rsidRPr="00C52E83">
        <w:rPr>
          <w:rFonts w:ascii="Arial" w:hAnsi="Arial" w:cs="Arial"/>
          <w:sz w:val="20"/>
          <w:szCs w:val="20"/>
        </w:rPr>
        <w:t xml:space="preserve"> limited liability partnership, or, as the context requires, the PricewaterhouseCoopers global network or other member firms of the network, each of which is a separate and independent legal entity. </w:t>
      </w:r>
    </w:p>
    <w:p w:rsidR="00EB6C7C" w:rsidRPr="00C52E83" w:rsidRDefault="00EB6C7C" w:rsidP="0072190F">
      <w:pPr>
        <w:spacing w:after="0" w:line="240" w:lineRule="auto"/>
        <w:jc w:val="center"/>
        <w:rPr>
          <w:rFonts w:ascii="Arial" w:hAnsi="Arial" w:cs="Arial"/>
          <w:sz w:val="20"/>
          <w:szCs w:val="20"/>
        </w:rPr>
      </w:pPr>
      <w:r w:rsidRPr="00C52E83">
        <w:rPr>
          <w:rFonts w:ascii="Arial" w:hAnsi="Arial" w:cs="Arial"/>
          <w:sz w:val="20"/>
          <w:szCs w:val="20"/>
        </w:rPr>
        <w:t>###</w:t>
      </w:r>
    </w:p>
    <w:p w:rsidR="00EB6C7C" w:rsidRPr="00C52E83" w:rsidRDefault="00EB6C7C" w:rsidP="0072190F">
      <w:pPr>
        <w:spacing w:after="0" w:line="240" w:lineRule="auto"/>
        <w:jc w:val="center"/>
        <w:rPr>
          <w:rFonts w:ascii="Arial" w:hAnsi="Arial" w:cs="Arial"/>
          <w:b/>
          <w:sz w:val="20"/>
          <w:szCs w:val="20"/>
        </w:rPr>
      </w:pPr>
    </w:p>
    <w:p w:rsidR="00EB6C7C" w:rsidRPr="00C52E83" w:rsidRDefault="00EB6C7C" w:rsidP="0072190F">
      <w:pPr>
        <w:spacing w:after="0" w:line="240" w:lineRule="auto"/>
        <w:rPr>
          <w:rFonts w:ascii="Arial" w:hAnsi="Arial" w:cs="Arial"/>
          <w:b/>
          <w:sz w:val="20"/>
          <w:szCs w:val="20"/>
        </w:rPr>
      </w:pPr>
      <w:r w:rsidRPr="00C52E83">
        <w:rPr>
          <w:rFonts w:ascii="Arial" w:hAnsi="Arial" w:cs="Arial"/>
          <w:b/>
          <w:sz w:val="20"/>
          <w:szCs w:val="20"/>
        </w:rPr>
        <w:t>For further information or to schedule an interview, please contact:</w:t>
      </w:r>
    </w:p>
    <w:p w:rsidR="00EB6C7C" w:rsidRPr="00C52E83" w:rsidRDefault="00EB6C7C" w:rsidP="0072190F">
      <w:pPr>
        <w:spacing w:after="0" w:line="240" w:lineRule="auto"/>
        <w:rPr>
          <w:rFonts w:ascii="Arial" w:hAnsi="Arial" w:cs="Arial"/>
          <w:sz w:val="20"/>
          <w:szCs w:val="20"/>
        </w:rPr>
      </w:pPr>
      <w:smartTag w:uri="urn:schemas-microsoft-com:office:smarttags" w:element="place">
        <w:smartTag w:uri="urn:schemas-microsoft-com:office:smarttags" w:element="PlaceName">
          <w:r w:rsidRPr="00C52E83">
            <w:rPr>
              <w:rFonts w:ascii="Arial" w:hAnsi="Arial" w:cs="Arial"/>
              <w:sz w:val="20"/>
              <w:szCs w:val="20"/>
            </w:rPr>
            <w:t>Carolyn</w:t>
          </w:r>
        </w:smartTag>
        <w:r w:rsidRPr="00C52E83">
          <w:rPr>
            <w:rFonts w:ascii="Arial" w:hAnsi="Arial" w:cs="Arial"/>
            <w:sz w:val="20"/>
            <w:szCs w:val="20"/>
          </w:rPr>
          <w:t xml:space="preserve"> </w:t>
        </w:r>
        <w:smartTag w:uri="urn:schemas-microsoft-com:office:smarttags" w:element="PlaceName">
          <w:r w:rsidRPr="00C52E83">
            <w:rPr>
              <w:rFonts w:ascii="Arial" w:hAnsi="Arial" w:cs="Arial"/>
              <w:sz w:val="20"/>
              <w:szCs w:val="20"/>
            </w:rPr>
            <w:t>Forest</w:t>
          </w:r>
        </w:smartTag>
      </w:smartTag>
      <w:r w:rsidRPr="00C52E83">
        <w:rPr>
          <w:rFonts w:ascii="Arial" w:hAnsi="Arial" w:cs="Arial"/>
          <w:sz w:val="20"/>
          <w:szCs w:val="20"/>
        </w:rPr>
        <w:t xml:space="preserve">, 416 814 5730, </w:t>
      </w:r>
      <w:hyperlink r:id="rId7" w:history="1">
        <w:r w:rsidRPr="00C52E83">
          <w:rPr>
            <w:rStyle w:val="Hyperlink"/>
            <w:rFonts w:ascii="Arial" w:hAnsi="Arial" w:cs="Arial"/>
            <w:sz w:val="20"/>
            <w:szCs w:val="20"/>
          </w:rPr>
          <w:t>carolyn.forest@ca.pwc.com</w:t>
        </w:r>
      </w:hyperlink>
    </w:p>
    <w:p w:rsidR="00EB6C7C" w:rsidRPr="00C52E83" w:rsidRDefault="00EB6C7C" w:rsidP="0072190F">
      <w:pPr>
        <w:rPr>
          <w:rFonts w:ascii="Arial" w:hAnsi="Arial" w:cs="Arial"/>
          <w:sz w:val="20"/>
          <w:szCs w:val="20"/>
        </w:rPr>
      </w:pPr>
      <w:r w:rsidRPr="00C52E83">
        <w:rPr>
          <w:rFonts w:ascii="Arial" w:hAnsi="Arial" w:cs="Arial"/>
          <w:sz w:val="20"/>
          <w:szCs w:val="20"/>
        </w:rPr>
        <w:t xml:space="preserve">Caroline Spivak, 416.371.9740, </w:t>
      </w:r>
      <w:hyperlink r:id="rId8" w:history="1">
        <w:r w:rsidRPr="00C52E83">
          <w:rPr>
            <w:rStyle w:val="Hyperlink"/>
            <w:rFonts w:ascii="Arial" w:hAnsi="Arial" w:cs="Arial"/>
            <w:sz w:val="20"/>
            <w:szCs w:val="20"/>
          </w:rPr>
          <w:t>caroline@profilecoms.com</w:t>
        </w:r>
      </w:hyperlink>
      <w:r w:rsidRPr="00C52E83">
        <w:rPr>
          <w:rFonts w:ascii="Arial" w:hAnsi="Arial" w:cs="Arial"/>
          <w:sz w:val="20"/>
          <w:szCs w:val="20"/>
        </w:rPr>
        <w:t xml:space="preserve"> </w:t>
      </w:r>
    </w:p>
    <w:p w:rsidR="00EB6C7C" w:rsidRPr="00EA69DA" w:rsidRDefault="00EB6C7C" w:rsidP="00576B81"/>
    <w:sectPr w:rsidR="00EB6C7C" w:rsidRPr="00EA69DA" w:rsidSect="0090401C">
      <w:pgSz w:w="12240" w:h="15840"/>
      <w:pgMar w:top="851"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D8CC8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98537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CD05E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57A176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506A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3865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FC54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EEC7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F2DD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925DEE"/>
    <w:lvl w:ilvl="0">
      <w:start w:val="1"/>
      <w:numFmt w:val="bullet"/>
      <w:lvlText w:val=""/>
      <w:lvlJc w:val="left"/>
      <w:pPr>
        <w:tabs>
          <w:tab w:val="num" w:pos="360"/>
        </w:tabs>
        <w:ind w:left="360" w:hanging="360"/>
      </w:pPr>
      <w:rPr>
        <w:rFonts w:ascii="Symbol" w:hAnsi="Symbol" w:hint="default"/>
      </w:rPr>
    </w:lvl>
  </w:abstractNum>
  <w:abstractNum w:abstractNumId="10">
    <w:nsid w:val="02F81BFC"/>
    <w:multiLevelType w:val="hybridMultilevel"/>
    <w:tmpl w:val="B3066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B81"/>
    <w:rsid w:val="000056B4"/>
    <w:rsid w:val="00006F1B"/>
    <w:rsid w:val="00066607"/>
    <w:rsid w:val="00080986"/>
    <w:rsid w:val="00085791"/>
    <w:rsid w:val="00117CB5"/>
    <w:rsid w:val="00153ED4"/>
    <w:rsid w:val="00167904"/>
    <w:rsid w:val="001A25FD"/>
    <w:rsid w:val="002144B5"/>
    <w:rsid w:val="00231C4B"/>
    <w:rsid w:val="002917B3"/>
    <w:rsid w:val="002A66F1"/>
    <w:rsid w:val="002C417C"/>
    <w:rsid w:val="002E0102"/>
    <w:rsid w:val="002F5697"/>
    <w:rsid w:val="00311259"/>
    <w:rsid w:val="00334778"/>
    <w:rsid w:val="00375CA5"/>
    <w:rsid w:val="003B537E"/>
    <w:rsid w:val="00454457"/>
    <w:rsid w:val="0046466A"/>
    <w:rsid w:val="0047047D"/>
    <w:rsid w:val="004A22EA"/>
    <w:rsid w:val="004C2341"/>
    <w:rsid w:val="004E2346"/>
    <w:rsid w:val="004F08A8"/>
    <w:rsid w:val="004F76FE"/>
    <w:rsid w:val="00514817"/>
    <w:rsid w:val="00576B81"/>
    <w:rsid w:val="006725A4"/>
    <w:rsid w:val="0067288F"/>
    <w:rsid w:val="00675BCD"/>
    <w:rsid w:val="00677B1D"/>
    <w:rsid w:val="006916E4"/>
    <w:rsid w:val="00712884"/>
    <w:rsid w:val="0072190F"/>
    <w:rsid w:val="00795D71"/>
    <w:rsid w:val="00796DF9"/>
    <w:rsid w:val="007A67F8"/>
    <w:rsid w:val="00807D1D"/>
    <w:rsid w:val="008539C5"/>
    <w:rsid w:val="00894D22"/>
    <w:rsid w:val="008E5E23"/>
    <w:rsid w:val="008F715A"/>
    <w:rsid w:val="0090251C"/>
    <w:rsid w:val="0090401C"/>
    <w:rsid w:val="0099709C"/>
    <w:rsid w:val="009C6660"/>
    <w:rsid w:val="009C70D7"/>
    <w:rsid w:val="009F6077"/>
    <w:rsid w:val="00A11EEF"/>
    <w:rsid w:val="00A84AA0"/>
    <w:rsid w:val="00BB5F78"/>
    <w:rsid w:val="00BE1E2F"/>
    <w:rsid w:val="00C12616"/>
    <w:rsid w:val="00C30B0A"/>
    <w:rsid w:val="00C34456"/>
    <w:rsid w:val="00C52E83"/>
    <w:rsid w:val="00C84A37"/>
    <w:rsid w:val="00CA7540"/>
    <w:rsid w:val="00CE3DDE"/>
    <w:rsid w:val="00D427D9"/>
    <w:rsid w:val="00D8471F"/>
    <w:rsid w:val="00DA0426"/>
    <w:rsid w:val="00E40099"/>
    <w:rsid w:val="00E731AD"/>
    <w:rsid w:val="00E748E0"/>
    <w:rsid w:val="00E83C64"/>
    <w:rsid w:val="00EA69DA"/>
    <w:rsid w:val="00EB6C7C"/>
    <w:rsid w:val="00F23FAF"/>
    <w:rsid w:val="00F41367"/>
    <w:rsid w:val="00F50FB8"/>
    <w:rsid w:val="00F51AD9"/>
    <w:rsid w:val="00F678A2"/>
    <w:rsid w:val="00FA3A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8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7540"/>
    <w:pPr>
      <w:ind w:left="720"/>
      <w:contextualSpacing/>
    </w:pPr>
  </w:style>
  <w:style w:type="character" w:styleId="Hyperlink">
    <w:name w:val="Hyperlink"/>
    <w:basedOn w:val="DefaultParagraphFont"/>
    <w:uiPriority w:val="99"/>
    <w:rsid w:val="00EA69DA"/>
    <w:rPr>
      <w:rFonts w:cs="Times New Roman"/>
      <w:color w:val="2A8EBF"/>
      <w:u w:val="single"/>
    </w:rPr>
  </w:style>
  <w:style w:type="paragraph" w:styleId="BalloonText">
    <w:name w:val="Balloon Text"/>
    <w:basedOn w:val="Normal"/>
    <w:link w:val="BalloonTextChar"/>
    <w:uiPriority w:val="99"/>
    <w:semiHidden/>
    <w:rsid w:val="00231C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904"/>
    <w:rPr>
      <w:rFonts w:ascii="Times New Roman" w:hAnsi="Times New Roman" w:cs="Times New Roman"/>
      <w:sz w:val="2"/>
    </w:rPr>
  </w:style>
  <w:style w:type="paragraph" w:styleId="NormalWeb">
    <w:name w:val="Normal (Web)"/>
    <w:basedOn w:val="Normal"/>
    <w:uiPriority w:val="99"/>
    <w:semiHidden/>
    <w:rsid w:val="0072190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81401132">
      <w:marLeft w:val="0"/>
      <w:marRight w:val="0"/>
      <w:marTop w:val="0"/>
      <w:marBottom w:val="0"/>
      <w:divBdr>
        <w:top w:val="none" w:sz="0" w:space="0" w:color="auto"/>
        <w:left w:val="none" w:sz="0" w:space="0" w:color="auto"/>
        <w:bottom w:val="none" w:sz="0" w:space="0" w:color="auto"/>
        <w:right w:val="none" w:sz="0" w:space="0" w:color="auto"/>
      </w:divBdr>
    </w:div>
    <w:div w:id="1581401133">
      <w:marLeft w:val="0"/>
      <w:marRight w:val="0"/>
      <w:marTop w:val="0"/>
      <w:marBottom w:val="0"/>
      <w:divBdr>
        <w:top w:val="none" w:sz="0" w:space="0" w:color="auto"/>
        <w:left w:val="none" w:sz="0" w:space="0" w:color="auto"/>
        <w:bottom w:val="none" w:sz="0" w:space="0" w:color="auto"/>
        <w:right w:val="none" w:sz="0" w:space="0" w:color="auto"/>
      </w:divBdr>
      <w:divsChild>
        <w:div w:id="1581401131">
          <w:marLeft w:val="75"/>
          <w:marRight w:val="0"/>
          <w:marTop w:val="100"/>
          <w:marBottom w:val="100"/>
          <w:divBdr>
            <w:top w:val="none" w:sz="0" w:space="0" w:color="auto"/>
            <w:left w:val="single" w:sz="12" w:space="4" w:color="000000"/>
            <w:bottom w:val="none" w:sz="0" w:space="0" w:color="auto"/>
            <w:right w:val="none" w:sz="0" w:space="0" w:color="auto"/>
          </w:divBdr>
          <w:divsChild>
            <w:div w:id="15814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1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profilecoms.com" TargetMode="External"/><Relationship Id="rId3" Type="http://schemas.openxmlformats.org/officeDocument/2006/relationships/settings" Target="settings.xml"/><Relationship Id="rId7" Type="http://schemas.openxmlformats.org/officeDocument/2006/relationships/hyperlink" Target="mailto:carolyn.forest@ca.pw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wc.com/ca/oPricewaterhouseCoopersCanadaWebsite" TargetMode="External"/><Relationship Id="rId5" Type="http://schemas.openxmlformats.org/officeDocument/2006/relationships/hyperlink" Target="http://www.pwc.com/oPricewaterhouseCoopers'globalWeb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668</Words>
  <Characters>3812</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ADVISORY/INTERVIEW OPPORTUNITY</dc:title>
  <dc:subject/>
  <dc:creator> </dc:creator>
  <cp:keywords/>
  <dc:description/>
  <cp:lastModifiedBy> </cp:lastModifiedBy>
  <cp:revision>2</cp:revision>
  <dcterms:created xsi:type="dcterms:W3CDTF">2009-11-13T16:21:00Z</dcterms:created>
  <dcterms:modified xsi:type="dcterms:W3CDTF">2009-11-13T16:21:00Z</dcterms:modified>
</cp:coreProperties>
</file>